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11C" w:rsidRPr="001D313D" w:rsidRDefault="0098311C" w:rsidP="0098311C">
      <w:pPr>
        <w:pStyle w:val="2"/>
        <w:rPr>
          <w:b w:val="0"/>
        </w:rPr>
      </w:pPr>
      <w:bookmarkStart w:id="0" w:name="_Toc59092677"/>
      <w:bookmarkStart w:id="1" w:name="_Toc89694818"/>
      <w:bookmarkStart w:id="2" w:name="_Toc122187391"/>
      <w:r w:rsidRPr="001D313D">
        <w:t>Раздел 7. Мониторинг деятельности хозяйствующих субъектов, доля участия субъекта Российской Федерации или муниципального образования в которых составляет 50 и более процентов, осуществляющих деятельность на территории Мурманской области</w:t>
      </w:r>
      <w:bookmarkEnd w:id="0"/>
      <w:bookmarkEnd w:id="1"/>
      <w:bookmarkEnd w:id="2"/>
    </w:p>
    <w:p w:rsidR="001D313D" w:rsidRDefault="001D313D" w:rsidP="0098311C">
      <w:r w:rsidRPr="001D313D">
        <w:rPr>
          <w:rFonts w:eastAsia="Calibri" w:cs="Times New Roman"/>
        </w:rPr>
        <w:t>По сведениям, представленным от исполнительных органов Мурманской области и органов местного самоуправления муниципальных образований Мурманской области, в</w:t>
      </w:r>
      <w:r w:rsidR="0098311C" w:rsidRPr="001D313D">
        <w:rPr>
          <w:rFonts w:eastAsia="Calibri" w:cs="Times New Roman"/>
        </w:rPr>
        <w:t xml:space="preserve"> 202</w:t>
      </w:r>
      <w:r w:rsidRPr="001D313D">
        <w:rPr>
          <w:rFonts w:eastAsia="Calibri" w:cs="Times New Roman"/>
        </w:rPr>
        <w:t>5</w:t>
      </w:r>
      <w:r w:rsidR="0098311C" w:rsidRPr="001D313D">
        <w:rPr>
          <w:rFonts w:eastAsia="Calibri" w:cs="Times New Roman"/>
        </w:rPr>
        <w:t xml:space="preserve"> году на территории Мурманской области осуществляют деятельность </w:t>
      </w:r>
      <w:r w:rsidRPr="001D313D">
        <w:rPr>
          <w:rFonts w:eastAsia="Calibri" w:cs="Times New Roman"/>
        </w:rPr>
        <w:t xml:space="preserve">772 </w:t>
      </w:r>
      <w:r w:rsidR="0098311C" w:rsidRPr="001D313D">
        <w:rPr>
          <w:rFonts w:eastAsia="Calibri" w:cs="Times New Roman"/>
        </w:rPr>
        <w:t xml:space="preserve">организации с долей участия Мурманской области или муниципальных образований 50 и более процентов (без учета организаций, находящихся в стадии ликвидации, реорганизации, банкротства). В </w:t>
      </w:r>
      <w:r w:rsidRPr="001D313D">
        <w:rPr>
          <w:rFonts w:eastAsia="Calibri" w:cs="Times New Roman"/>
        </w:rPr>
        <w:t xml:space="preserve">2024 году таких организаций было 959, </w:t>
      </w:r>
      <w:r w:rsidRPr="001D313D">
        <w:t xml:space="preserve">2023 году 971, в 2022 году - 988, в </w:t>
      </w:r>
      <w:r w:rsidRPr="00AA426B">
        <w:t>2021 году – 990 организаций, в 2020 году таких организаций насчитывалось 992 единицы, в 2019 – 1024, в 2018 – 1214 учреждений и организаций в регионе.</w:t>
      </w:r>
    </w:p>
    <w:p w:rsidR="0098311C" w:rsidRPr="00AA426B" w:rsidRDefault="0098311C" w:rsidP="0098311C">
      <w:pPr>
        <w:rPr>
          <w:rFonts w:eastAsia="Calibri" w:cs="Times New Roman"/>
        </w:rPr>
      </w:pPr>
      <w:r w:rsidRPr="00AA426B">
        <w:rPr>
          <w:rFonts w:eastAsia="Calibri" w:cs="Times New Roman"/>
        </w:rPr>
        <w:t>Мониторинг деятельности хозяйствующих субъектов, доля участия Мурманской области и муниципальных образований, в которых составляет 50 процентов и более (за исключением предприятий, осуществляющих деятельность в сферах, связанных с обеспечением обороны и безопасности государства, а также включенных в перечень стратегических предприятий) охватывает деятельность унитарных предприятий, бюджетных</w:t>
      </w:r>
      <w:r w:rsidR="00AA426B" w:rsidRPr="00AA426B">
        <w:rPr>
          <w:rFonts w:eastAsia="Calibri" w:cs="Times New Roman"/>
        </w:rPr>
        <w:t xml:space="preserve"> и автономных</w:t>
      </w:r>
      <w:r w:rsidRPr="00AA426B">
        <w:rPr>
          <w:rFonts w:eastAsia="Calibri" w:cs="Times New Roman"/>
        </w:rPr>
        <w:t xml:space="preserve"> учреждений, хозяйственных обществ</w:t>
      </w:r>
      <w:r w:rsidR="00AA426B" w:rsidRPr="00AA426B">
        <w:rPr>
          <w:rFonts w:eastAsia="Calibri" w:cs="Times New Roman"/>
        </w:rPr>
        <w:t>, некоммерческих организаций</w:t>
      </w:r>
      <w:r w:rsidRPr="00AA426B">
        <w:rPr>
          <w:rFonts w:eastAsia="Calibri" w:cs="Times New Roman"/>
        </w:rPr>
        <w:t>.</w:t>
      </w:r>
    </w:p>
    <w:p w:rsidR="00AA426B" w:rsidRDefault="00AA426B" w:rsidP="0098311C">
      <w:r>
        <w:t xml:space="preserve">По результатам мониторинга в 2025 году всего в Мурманской области действует 7 государственных </w:t>
      </w:r>
      <w:r w:rsidRPr="00AA426B">
        <w:t>унитарных предприятия и 27 муниципальных унитарных предприятий, 19 хозяйственных обществ с долей участия Мурманской области 50 и более процентов и 30 хозяйственных общества с долей участия муниципальных образований, 131 государственное учреждение и 558 муниципальных учреждений, оказывающие услуги по основному виду деятельности на возмездной и безвозмездной основе.</w:t>
      </w:r>
      <w:r>
        <w:t xml:space="preserve"> </w:t>
      </w:r>
    </w:p>
    <w:p w:rsidR="0098311C" w:rsidRPr="0098311C" w:rsidRDefault="00F531DC" w:rsidP="0098311C">
      <w:pPr>
        <w:rPr>
          <w:rFonts w:eastAsia="Calibri" w:cs="Times New Roman"/>
          <w:highlight w:val="yellow"/>
        </w:rPr>
      </w:pPr>
      <w:r>
        <w:rPr>
          <w:rFonts w:eastAsia="Calibri" w:cs="Times New Roman"/>
        </w:rPr>
        <w:t>В</w:t>
      </w:r>
      <w:r>
        <w:t xml:space="preserve"> 2024 году всего в Мурманской области действует 3 государственных унитарных предприятия и 40 муниципальных унитарных предприятий, 16 хозяйственных обществ с долей участия Мурманской области 50 и более процентов и 25 хозяйственных общества с долей участия муниципальных образований, 146 государственных </w:t>
      </w:r>
      <w:r w:rsidRPr="00F531DC">
        <w:t xml:space="preserve">учреждений и 729 муниципальных учреждений, оказывающие услуги по основному виду деятельности на возмездной и безвозмездной основе. </w:t>
      </w:r>
      <w:r w:rsidR="0098311C" w:rsidRPr="00F531DC">
        <w:rPr>
          <w:rFonts w:eastAsia="Calibri" w:cs="Times New Roman"/>
        </w:rPr>
        <w:t xml:space="preserve"> По результатам мониторинга </w:t>
      </w:r>
      <w:r w:rsidRPr="00F531DC">
        <w:t>в 2020</w:t>
      </w:r>
      <w:r>
        <w:t xml:space="preserve"> году действовало 3 государственных унитарных предприятий и 49 муниципальных унитарных предприятий, 7 хозяйственных обществ с долей участия Мурманской области 50 и более процентов и 19 хозяйственных обществ с долей участия муниципальных образований, 163 государственных учреждения и 751 муниципальное учреждение, оказывающие услуги по основному виду деятельности на возмездной и безвозмездной основе. По результатам мониторинга 2019 года всего в Мурманской области действует 6 </w:t>
      </w:r>
      <w:r>
        <w:lastRenderedPageBreak/>
        <w:t>государственных унитарных предприятий и 76 муниципальных унитарных предприятий, 8 хозяйственных обществ с долей участия Мурманской области 50 и более процентов (из них одно в стадии ликвидации) и 20 хозяйственных обществ с долей участия муниципальных образований, 166 государственных учреждений и 748 муниц</w:t>
      </w:r>
      <w:r w:rsidRPr="008D045A">
        <w:t xml:space="preserve">ипальных учреждений, предоставляющих бесплатные и на платной основе услуги по основному виду деятельности. </w:t>
      </w:r>
      <w:r w:rsidR="0098311C" w:rsidRPr="008D045A">
        <w:rPr>
          <w:rFonts w:eastAsia="Calibri" w:cs="Times New Roman"/>
        </w:rPr>
        <w:t xml:space="preserve"> В результате можно заключить, что меняется не только количественный состав, но структура.</w:t>
      </w:r>
    </w:p>
    <w:p w:rsidR="0098311C" w:rsidRPr="00A86CD5" w:rsidRDefault="0098311C" w:rsidP="0098311C">
      <w:pPr>
        <w:spacing w:after="120"/>
        <w:rPr>
          <w:rFonts w:eastAsia="Calibri" w:cs="Times New Roman"/>
        </w:rPr>
      </w:pPr>
      <w:r w:rsidRPr="00A86CD5">
        <w:rPr>
          <w:rFonts w:eastAsia="Calibri" w:cs="Times New Roman"/>
        </w:rPr>
        <w:t>Динамика количественного и качественного составов хозяйствующих субъектов, доля участия Мурманской области и муниципальных образований, в которых составляет 50 процентов и более (за исключением предприятий, осуществляющих деятельность в сферах, связанных с обеспечением обороны и безопасности государства, а также включенных в перечень стратегических предприятий) представлена в таблице 7.1.</w:t>
      </w:r>
    </w:p>
    <w:p w:rsidR="0098311C" w:rsidRPr="00A86CD5" w:rsidRDefault="0098311C" w:rsidP="0098311C">
      <w:pPr>
        <w:keepNext/>
        <w:numPr>
          <w:ilvl w:val="0"/>
          <w:numId w:val="6"/>
        </w:numPr>
        <w:spacing w:after="160" w:line="256" w:lineRule="auto"/>
        <w:ind w:left="0" w:firstLine="0"/>
        <w:contextualSpacing/>
        <w:jc w:val="left"/>
        <w:rPr>
          <w:rFonts w:eastAsia="Times New Roman" w:cs="Times New Roman"/>
          <w:bCs/>
          <w:i/>
          <w:noProof/>
          <w:sz w:val="24"/>
          <w:szCs w:val="22"/>
          <w:lang w:eastAsia="ru-RU"/>
        </w:rPr>
      </w:pPr>
      <w:r w:rsidRPr="00A86CD5">
        <w:rPr>
          <w:rFonts w:eastAsia="Times New Roman" w:cs="Times New Roman"/>
          <w:bCs/>
          <w:i/>
          <w:noProof/>
          <w:sz w:val="24"/>
          <w:szCs w:val="22"/>
          <w:lang w:eastAsia="ru-RU"/>
        </w:rPr>
        <w:t>Динамика хозяйствующих субъектов, доля участия Мурманской области и муниципальных образований, в которых составляет 50 процентов и более, ед.</w:t>
      </w:r>
    </w:p>
    <w:tbl>
      <w:tblPr>
        <w:tblStyle w:val="28"/>
        <w:tblW w:w="5000" w:type="pct"/>
        <w:tblLook w:val="04A0" w:firstRow="1" w:lastRow="0" w:firstColumn="1" w:lastColumn="0" w:noHBand="0" w:noVBand="1"/>
      </w:tblPr>
      <w:tblGrid>
        <w:gridCol w:w="4249"/>
        <w:gridCol w:w="853"/>
        <w:gridCol w:w="852"/>
        <w:gridCol w:w="850"/>
        <w:gridCol w:w="850"/>
        <w:gridCol w:w="850"/>
        <w:gridCol w:w="841"/>
      </w:tblGrid>
      <w:tr w:rsidR="008D045A" w:rsidRPr="00A86CD5" w:rsidTr="008D045A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b/>
                <w:bCs/>
                <w:sz w:val="20"/>
                <w:szCs w:val="20"/>
              </w:rPr>
              <w:t xml:space="preserve">Виды хозяйствующих субъектов, доля участия Мурманской области и муниципальных образований, в которых составляет 50 процентов и более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b/>
                <w:bCs/>
                <w:sz w:val="20"/>
                <w:szCs w:val="20"/>
              </w:rPr>
              <w:t xml:space="preserve">2020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b/>
                <w:bCs/>
                <w:sz w:val="20"/>
                <w:szCs w:val="20"/>
              </w:rPr>
              <w:t xml:space="preserve">2021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b/>
                <w:bCs/>
                <w:sz w:val="20"/>
                <w:szCs w:val="20"/>
              </w:rPr>
              <w:t xml:space="preserve">2022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Pr="00A86CD5" w:rsidRDefault="008D045A" w:rsidP="008D045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A86CD5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Pr="00A86CD5" w:rsidRDefault="008D045A" w:rsidP="008D045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A86CD5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b/>
                <w:bCs/>
                <w:sz w:val="20"/>
                <w:szCs w:val="20"/>
              </w:rPr>
              <w:t>2025</w:t>
            </w:r>
          </w:p>
        </w:tc>
      </w:tr>
      <w:tr w:rsidR="008D045A" w:rsidRPr="0098311C" w:rsidTr="008D045A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sz w:val="20"/>
                <w:szCs w:val="20"/>
              </w:rPr>
              <w:t xml:space="preserve">государственные унитарные предприятия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sz w:val="20"/>
                <w:szCs w:val="20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Pr="00A86CD5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sz w:val="20"/>
                <w:szCs w:val="20"/>
              </w:rPr>
              <w:t>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 w:rsidRPr="00A86CD5">
              <w:rPr>
                <w:sz w:val="20"/>
                <w:szCs w:val="20"/>
              </w:rPr>
              <w:t>7</w:t>
            </w:r>
          </w:p>
        </w:tc>
      </w:tr>
      <w:tr w:rsidR="008D045A" w:rsidRPr="0098311C" w:rsidTr="008D045A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муниципальные унитарные предприятия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A86CD5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8D045A" w:rsidRPr="0098311C" w:rsidTr="008D045A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хозяйственные общества с долей участия Мурманской области 50 и более процентов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A86CD5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8D045A" w:rsidRPr="0098311C" w:rsidTr="008D045A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хозяйственные общества с долей участия муниципальных образований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A86CD5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D045A" w:rsidRPr="0098311C" w:rsidTr="008D045A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государственные учреждения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154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152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A86CD5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</w:tr>
      <w:tr w:rsidR="008D045A" w:rsidRPr="0098311C" w:rsidTr="008D045A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муниципальные учреждения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751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745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744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A86CD5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</w:t>
            </w:r>
          </w:p>
        </w:tc>
      </w:tr>
      <w:tr w:rsidR="008D045A" w:rsidRPr="0098311C" w:rsidTr="008D045A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992 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990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988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8D045A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5A" w:rsidRDefault="00A86CD5" w:rsidP="008D045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</w:t>
            </w:r>
          </w:p>
        </w:tc>
      </w:tr>
    </w:tbl>
    <w:p w:rsidR="003D1601" w:rsidRDefault="0098311C" w:rsidP="00A86CD5">
      <w:pPr>
        <w:spacing w:after="120"/>
      </w:pPr>
      <w:r>
        <w:t xml:space="preserve"> </w:t>
      </w:r>
    </w:p>
    <w:p w:rsidR="00A22670" w:rsidRPr="00AA426B" w:rsidRDefault="00A22670" w:rsidP="00A22670">
      <w:pPr>
        <w:rPr>
          <w:rFonts w:eastAsia="Calibri" w:cs="Times New Roman"/>
        </w:rPr>
      </w:pPr>
      <w:r>
        <w:t>Детализированная информация представлена в приложении Приложение 5.</w:t>
      </w:r>
    </w:p>
    <w:p w:rsidR="00A22670" w:rsidRDefault="00A22670" w:rsidP="00A86CD5">
      <w:pPr>
        <w:spacing w:after="120"/>
      </w:pPr>
      <w:bookmarkStart w:id="3" w:name="_GoBack"/>
      <w:bookmarkEnd w:id="3"/>
    </w:p>
    <w:sectPr w:rsidR="00A22670" w:rsidSect="0098311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45A" w:rsidRDefault="008D045A" w:rsidP="0098311C">
      <w:r>
        <w:separator/>
      </w:r>
    </w:p>
  </w:endnote>
  <w:endnote w:type="continuationSeparator" w:id="0">
    <w:p w:rsidR="008D045A" w:rsidRDefault="008D045A" w:rsidP="0098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45A" w:rsidRDefault="008D045A" w:rsidP="0098311C">
      <w:r>
        <w:separator/>
      </w:r>
    </w:p>
  </w:footnote>
  <w:footnote w:type="continuationSeparator" w:id="0">
    <w:p w:rsidR="008D045A" w:rsidRDefault="008D045A" w:rsidP="00983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195267"/>
      <w:docPartObj>
        <w:docPartGallery w:val="Page Numbers (Top of Page)"/>
        <w:docPartUnique/>
      </w:docPartObj>
    </w:sdtPr>
    <w:sdtContent>
      <w:p w:rsidR="008D045A" w:rsidRDefault="008D045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670">
          <w:rPr>
            <w:noProof/>
          </w:rPr>
          <w:t>2</w:t>
        </w:r>
        <w:r>
          <w:fldChar w:fldCharType="end"/>
        </w:r>
      </w:p>
    </w:sdtContent>
  </w:sdt>
  <w:p w:rsidR="008D045A" w:rsidRDefault="008D04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B1AA6"/>
    <w:multiLevelType w:val="hybridMultilevel"/>
    <w:tmpl w:val="316A2EC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E6439A"/>
    <w:multiLevelType w:val="hybridMultilevel"/>
    <w:tmpl w:val="3DE0392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EA530A"/>
    <w:multiLevelType w:val="hybridMultilevel"/>
    <w:tmpl w:val="D7A2DA94"/>
    <w:lvl w:ilvl="0" w:tplc="3D6CACA2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3447C0"/>
    <w:multiLevelType w:val="hybridMultilevel"/>
    <w:tmpl w:val="A3CE9EB4"/>
    <w:lvl w:ilvl="0" w:tplc="BCD251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80F7543"/>
    <w:multiLevelType w:val="hybridMultilevel"/>
    <w:tmpl w:val="D550004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855589"/>
    <w:multiLevelType w:val="hybridMultilevel"/>
    <w:tmpl w:val="ACA83B2C"/>
    <w:lvl w:ilvl="0" w:tplc="C43234F2">
      <w:start w:val="1"/>
      <w:numFmt w:val="decimal"/>
      <w:lvlText w:val="Таблица 7.%1 - "/>
      <w:lvlJc w:val="left"/>
      <w:pPr>
        <w:ind w:left="720" w:hanging="360"/>
      </w:pPr>
      <w:rPr>
        <w:rFonts w:hint="default"/>
        <w:b w:val="0"/>
        <w:i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A174A3"/>
    <w:multiLevelType w:val="hybridMultilevel"/>
    <w:tmpl w:val="B3BCCD7C"/>
    <w:lvl w:ilvl="0" w:tplc="B944FBDC">
      <w:start w:val="1"/>
      <w:numFmt w:val="decimal"/>
      <w:lvlText w:val="Рисунок 7.%1 - 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312BD"/>
    <w:multiLevelType w:val="hybridMultilevel"/>
    <w:tmpl w:val="4080CDD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1C"/>
    <w:rsid w:val="001D313D"/>
    <w:rsid w:val="003D1601"/>
    <w:rsid w:val="008D045A"/>
    <w:rsid w:val="0098311C"/>
    <w:rsid w:val="00A22670"/>
    <w:rsid w:val="00A86CD5"/>
    <w:rsid w:val="00AA426B"/>
    <w:rsid w:val="00F5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A02301C-C3E3-4455-B025-89FEDDA0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8311C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,2"/>
    <w:basedOn w:val="a1"/>
    <w:next w:val="a0"/>
    <w:link w:val="20"/>
    <w:uiPriority w:val="9"/>
    <w:unhideWhenUsed/>
    <w:qFormat/>
    <w:rsid w:val="0098311C"/>
    <w:pPr>
      <w:keepNext/>
      <w:keepLines/>
      <w:spacing w:before="120"/>
      <w:outlineLvl w:val="1"/>
    </w:pPr>
    <w:rPr>
      <w:rFonts w:eastAsiaTheme="majorEastAsia" w:cstheme="majorBidi"/>
      <w:b/>
      <w:sz w:val="32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2"/>
    <w:link w:val="2"/>
    <w:uiPriority w:val="9"/>
    <w:rsid w:val="0098311C"/>
    <w:rPr>
      <w:rFonts w:ascii="Times New Roman" w:eastAsiaTheme="majorEastAsia" w:hAnsi="Times New Roman" w:cstheme="majorBidi"/>
      <w:b/>
      <w:sz w:val="32"/>
      <w:szCs w:val="26"/>
    </w:rPr>
  </w:style>
  <w:style w:type="paragraph" w:styleId="a">
    <w:name w:val="List Paragraph"/>
    <w:aliases w:val="Num Bullet 1,Bullet Number,Индексы,название,Маркер,it_List1,Светлый список - Акцент 51,Абзац2,Абзац 2,Bullet 1,Use Case List Paragraph,асз.Списка,1,UL,Абзац маркированнный,List Paragraph,Абзац списка основной,ПАРАГРАФ,ТЗ список,Bullet List"/>
    <w:basedOn w:val="a0"/>
    <w:link w:val="a5"/>
    <w:uiPriority w:val="34"/>
    <w:qFormat/>
    <w:rsid w:val="0098311C"/>
    <w:pPr>
      <w:numPr>
        <w:numId w:val="1"/>
      </w:numPr>
      <w:contextualSpacing/>
    </w:pPr>
  </w:style>
  <w:style w:type="character" w:customStyle="1" w:styleId="a5">
    <w:name w:val="Абзац списка Знак"/>
    <w:aliases w:val="Num Bullet 1 Знак,Bullet Number Знак,Индексы Знак,название Знак,Маркер Знак,it_List1 Знак,Светлый список - Акцент 51 Знак,Абзац2 Знак,Абзац 2 Знак,Bullet 1 Знак,Use Case List Paragraph Знак,асз.Списка Знак,1 Знак,UL Знак,ПАРАГРАФ Знак"/>
    <w:link w:val="a"/>
    <w:uiPriority w:val="34"/>
    <w:qFormat/>
    <w:locked/>
    <w:rsid w:val="0098311C"/>
    <w:rPr>
      <w:rFonts w:ascii="Times New Roman" w:hAnsi="Times New Roman"/>
      <w:sz w:val="28"/>
      <w:szCs w:val="28"/>
    </w:rPr>
  </w:style>
  <w:style w:type="table" w:customStyle="1" w:styleId="8">
    <w:name w:val="ПЕ_Таблица8"/>
    <w:basedOn w:val="a3"/>
    <w:next w:val="a6"/>
    <w:uiPriority w:val="39"/>
    <w:rsid w:val="0098311C"/>
    <w:pPr>
      <w:spacing w:after="0" w:line="360" w:lineRule="auto"/>
      <w:ind w:firstLine="709"/>
    </w:pPr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6"/>
    <w:uiPriority w:val="39"/>
    <w:rsid w:val="0098311C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1">
    <w:name w:val="Body Text"/>
    <w:basedOn w:val="a0"/>
    <w:link w:val="a7"/>
    <w:uiPriority w:val="99"/>
    <w:semiHidden/>
    <w:unhideWhenUsed/>
    <w:rsid w:val="0098311C"/>
    <w:pPr>
      <w:spacing w:after="120"/>
    </w:pPr>
  </w:style>
  <w:style w:type="character" w:customStyle="1" w:styleId="a7">
    <w:name w:val="Основной текст Знак"/>
    <w:basedOn w:val="a2"/>
    <w:link w:val="a1"/>
    <w:uiPriority w:val="99"/>
    <w:semiHidden/>
    <w:rsid w:val="0098311C"/>
    <w:rPr>
      <w:rFonts w:ascii="Times New Roman" w:hAnsi="Times New Roman"/>
      <w:sz w:val="28"/>
      <w:szCs w:val="28"/>
    </w:rPr>
  </w:style>
  <w:style w:type="table" w:styleId="a6">
    <w:name w:val="Table Grid"/>
    <w:basedOn w:val="a3"/>
    <w:uiPriority w:val="39"/>
    <w:rsid w:val="00983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9831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98311C"/>
    <w:rPr>
      <w:rFonts w:ascii="Times New Roman" w:hAnsi="Times New Roman"/>
      <w:sz w:val="28"/>
      <w:szCs w:val="28"/>
    </w:rPr>
  </w:style>
  <w:style w:type="paragraph" w:styleId="aa">
    <w:name w:val="footer"/>
    <w:basedOn w:val="a0"/>
    <w:link w:val="ab"/>
    <w:uiPriority w:val="99"/>
    <w:unhideWhenUsed/>
    <w:rsid w:val="009831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98311C"/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8D04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FFFF2-C5C0-4093-B4EC-AD47A37C4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Скрябина М.И.</dc:creator>
  <cp:keywords/>
  <dc:description/>
  <cp:lastModifiedBy>Скрябина М.И.</cp:lastModifiedBy>
  <cp:revision>4</cp:revision>
  <dcterms:created xsi:type="dcterms:W3CDTF">2025-12-17T08:32:00Z</dcterms:created>
  <dcterms:modified xsi:type="dcterms:W3CDTF">2025-12-17T14:04:00Z</dcterms:modified>
</cp:coreProperties>
</file>